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480" w:lineRule="auto"/>
        <w:jc w:val="center"/>
        <w:rPr>
          <w:rFonts w:ascii="Segoe UI" w:hAnsi="Segoe UI" w:eastAsia="Segoe UI" w:cs="Segoe UI"/>
          <w:b/>
          <w:bCs/>
          <w:sz w:val="28"/>
          <w:szCs w:val="28"/>
        </w:rPr>
      </w:pPr>
      <w:bookmarkStart w:id="0" w:name="_GoBack"/>
      <w:bookmarkEnd w:id="0"/>
      <w:r>
        <w:rPr>
          <w:rFonts w:hint="eastAsia" w:ascii="Segoe UI" w:hAnsi="Segoe UI" w:cs="Segoe UI"/>
          <w:b/>
          <w:bCs/>
          <w:sz w:val="28"/>
          <w:szCs w:val="28"/>
          <w:lang w:eastAsia="zh-CN"/>
        </w:rPr>
        <w:t>中共福建省委统战部</w:t>
      </w:r>
      <w:r>
        <w:rPr>
          <w:rFonts w:hint="eastAsia" w:ascii="Segoe UI" w:hAnsi="Segoe UI" w:eastAsia="Segoe UI" w:cs="Segoe UI"/>
          <w:b/>
          <w:bCs/>
          <w:sz w:val="28"/>
          <w:szCs w:val="28"/>
        </w:rPr>
        <w:t>关于</w:t>
      </w:r>
      <w:r>
        <w:rPr>
          <w:rFonts w:hint="eastAsia" w:ascii="Segoe UI" w:hAnsi="Segoe UI" w:cs="Segoe UI"/>
          <w:b/>
          <w:bCs/>
          <w:sz w:val="28"/>
          <w:szCs w:val="28"/>
          <w:lang w:val="en-US" w:eastAsia="zh-CN"/>
        </w:rPr>
        <w:t>2021年度《新福建》APP“福建侨务”政务频道运维服务</w:t>
      </w:r>
      <w:r>
        <w:rPr>
          <w:rFonts w:hint="eastAsia" w:ascii="Segoe UI" w:hAnsi="Segoe UI" w:eastAsia="Segoe UI" w:cs="Segoe UI"/>
          <w:b/>
          <w:bCs/>
          <w:sz w:val="28"/>
          <w:szCs w:val="28"/>
        </w:rPr>
        <w:t>采购项目单一来源</w:t>
      </w:r>
      <w:r>
        <w:rPr>
          <w:rFonts w:ascii="Segoe UI" w:hAnsi="Segoe UI" w:eastAsia="Segoe UI" w:cs="Segoe UI"/>
          <w:b/>
          <w:bCs/>
          <w:sz w:val="28"/>
          <w:szCs w:val="28"/>
        </w:rPr>
        <w:t>采购审核前公示</w:t>
      </w:r>
    </w:p>
    <w:p>
      <w:pPr>
        <w:pStyle w:val="4"/>
        <w:keepNext w:val="0"/>
        <w:keepLines w:val="0"/>
        <w:pageBreakBefore w:val="0"/>
        <w:widowControl/>
        <w:kinsoku/>
        <w:wordWrap/>
        <w:overflowPunct/>
        <w:topLinePunct w:val="0"/>
        <w:autoSpaceDE/>
        <w:autoSpaceDN/>
        <w:bidi w:val="0"/>
        <w:adjustRightInd/>
        <w:snapToGrid/>
        <w:spacing w:line="45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为更好对外宣传我省侨务政策，讲好闽籍侨胞在住在国奋斗发展故事，进一步凝聚侨心侨力，助力新福建建设，中共福建省委统战部</w:t>
      </w:r>
      <w:r>
        <w:rPr>
          <w:rFonts w:hint="eastAsia" w:ascii="宋体" w:hAnsi="宋体" w:cs="宋体"/>
          <w:sz w:val="24"/>
          <w:szCs w:val="24"/>
          <w:lang w:eastAsia="zh-CN"/>
        </w:rPr>
        <w:t>对</w:t>
      </w:r>
      <w:r>
        <w:rPr>
          <w:rFonts w:hint="eastAsia" w:ascii="宋体" w:hAnsi="宋体" w:eastAsia="宋体" w:cs="宋体"/>
          <w:sz w:val="24"/>
          <w:szCs w:val="24"/>
        </w:rPr>
        <w:t xml:space="preserve">“2021年度《新福建》APP“福建侨务”政务频道运维服务采购项目拟采用单一来源采购方式进行采购，现公示如下： </w:t>
      </w:r>
    </w:p>
    <w:p>
      <w:pPr>
        <w:pStyle w:val="4"/>
        <w:keepNext w:val="0"/>
        <w:keepLines w:val="0"/>
        <w:pageBreakBefore w:val="0"/>
        <w:widowControl/>
        <w:kinsoku/>
        <w:wordWrap/>
        <w:overflowPunct/>
        <w:topLinePunct w:val="0"/>
        <w:autoSpaceDE/>
        <w:autoSpaceDN/>
        <w:bidi w:val="0"/>
        <w:adjustRightInd/>
        <w:snapToGrid/>
        <w:spacing w:line="450" w:lineRule="exact"/>
        <w:ind w:right="-313" w:rightChars="-149"/>
        <w:textAlignment w:val="auto"/>
        <w:rPr>
          <w:rFonts w:hint="eastAsia" w:ascii="宋体" w:hAnsi="宋体" w:eastAsia="宋体" w:cs="宋体"/>
          <w:sz w:val="24"/>
          <w:szCs w:val="24"/>
        </w:rPr>
      </w:pPr>
      <w:r>
        <w:rPr>
          <w:rFonts w:hint="eastAsia" w:ascii="宋体" w:hAnsi="宋体" w:eastAsia="宋体" w:cs="宋体"/>
          <w:b/>
          <w:bCs/>
          <w:sz w:val="24"/>
          <w:szCs w:val="24"/>
        </w:rPr>
        <w:t>1、项目名称:</w:t>
      </w:r>
      <w:r>
        <w:rPr>
          <w:rFonts w:hint="eastAsia" w:ascii="宋体" w:hAnsi="宋体" w:eastAsia="宋体" w:cs="宋体"/>
          <w:sz w:val="24"/>
          <w:szCs w:val="24"/>
        </w:rPr>
        <w:t>中共福建省委统战部</w:t>
      </w:r>
      <w:r>
        <w:rPr>
          <w:rFonts w:hint="eastAsia" w:ascii="宋体" w:hAnsi="宋体" w:cs="宋体"/>
          <w:sz w:val="24"/>
          <w:szCs w:val="24"/>
          <w:lang w:eastAsia="zh-CN"/>
        </w:rPr>
        <w:t>关于</w:t>
      </w:r>
      <w:r>
        <w:rPr>
          <w:rFonts w:hint="eastAsia" w:ascii="宋体" w:hAnsi="宋体" w:eastAsia="宋体" w:cs="宋体"/>
          <w:sz w:val="24"/>
          <w:szCs w:val="24"/>
        </w:rPr>
        <w:t>“2021年度《新福建》APP“福建侨务”政务频道运维服务采购项目</w:t>
      </w:r>
    </w:p>
    <w:p>
      <w:pPr>
        <w:pStyle w:val="4"/>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2、采购内容及要求： </w:t>
      </w:r>
    </w:p>
    <w:tbl>
      <w:tblPr>
        <w:tblStyle w:val="14"/>
        <w:tblW w:w="8322"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928"/>
        <w:gridCol w:w="4095"/>
        <w:gridCol w:w="1080"/>
        <w:gridCol w:w="221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blHeader/>
        </w:trPr>
        <w:tc>
          <w:tcPr>
            <w:tcW w:w="92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序号</w:t>
            </w:r>
          </w:p>
        </w:tc>
        <w:tc>
          <w:tcPr>
            <w:tcW w:w="40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项目名称</w:t>
            </w:r>
          </w:p>
        </w:tc>
        <w:tc>
          <w:tcPr>
            <w:tcW w:w="108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数量</w:t>
            </w:r>
          </w:p>
        </w:tc>
        <w:tc>
          <w:tcPr>
            <w:tcW w:w="221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预算金额（元）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2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0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2021年度《新福建》APP“福建侨务”政务频道运维服务采购项目</w:t>
            </w:r>
          </w:p>
        </w:tc>
        <w:tc>
          <w:tcPr>
            <w:tcW w:w="108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1</w:t>
            </w:r>
          </w:p>
        </w:tc>
        <w:tc>
          <w:tcPr>
            <w:tcW w:w="221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sz w:val="24"/>
                <w:szCs w:val="24"/>
                <w:lang w:val="en-US" w:eastAsia="zh-CN"/>
              </w:rPr>
            </w:pPr>
            <w:r>
              <w:rPr>
                <w:rFonts w:hint="eastAsia" w:ascii="宋体" w:hAnsi="宋体" w:cs="宋体"/>
                <w:kern w:val="0"/>
                <w:sz w:val="24"/>
                <w:szCs w:val="24"/>
                <w:lang w:val="en-US" w:eastAsia="zh-CN"/>
              </w:rPr>
              <w:t>195</w:t>
            </w:r>
            <w:r>
              <w:rPr>
                <w:rFonts w:hint="eastAsia" w:ascii="宋体" w:hAnsi="宋体" w:eastAsia="宋体" w:cs="宋体"/>
                <w:kern w:val="0"/>
                <w:sz w:val="24"/>
                <w:szCs w:val="24"/>
                <w:lang w:val="en-US" w:eastAsia="zh-CN"/>
              </w:rPr>
              <w:t>000</w:t>
            </w:r>
          </w:p>
        </w:tc>
      </w:tr>
    </w:tbl>
    <w:p>
      <w:pPr>
        <w:pStyle w:val="4"/>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 xml:space="preserve"> 3、拟采购的货物或者服务的说明：</w:t>
      </w:r>
      <w:r>
        <w:rPr>
          <w:rFonts w:hint="eastAsia" w:ascii="宋体" w:hAnsi="宋体" w:cs="宋体"/>
          <w:b w:val="0"/>
          <w:bCs w:val="0"/>
          <w:sz w:val="24"/>
          <w:szCs w:val="24"/>
          <w:lang w:eastAsia="zh-CN"/>
        </w:rPr>
        <w:t>中共福建省委统战部关于“2021年度《新福建》APP“福建侨务”政务频道运维服务采购项目，服务期限为合同签订之日起一年。</w:t>
      </w:r>
    </w:p>
    <w:p>
      <w:pPr>
        <w:keepNext w:val="0"/>
        <w:keepLines w:val="0"/>
        <w:pageBreakBefore w:val="0"/>
        <w:numPr>
          <w:ilvl w:val="0"/>
          <w:numId w:val="1"/>
        </w:numPr>
        <w:tabs>
          <w:tab w:val="left" w:pos="760"/>
        </w:tabs>
        <w:kinsoku/>
        <w:wordWrap/>
        <w:overflowPunct/>
        <w:topLinePunct w:val="0"/>
        <w:autoSpaceDE/>
        <w:autoSpaceDN/>
        <w:bidi w:val="0"/>
        <w:adjustRightInd/>
        <w:snapToGrid/>
        <w:spacing w:after="156" w:afterLines="50" w:line="45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采用单一来源采购方式的原因及相关说明：</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福建东南网海外传媒有限公司（东南网海外部）具有平台运营、海外落地、侨海资源、新闻资质的优势，具体内容如下：</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（1）平台运营优势</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ascii="宋体" w:hAnsi="宋体" w:cs="宋体"/>
          <w:kern w:val="0"/>
          <w:sz w:val="24"/>
          <w:szCs w:val="24"/>
          <w:lang w:val="en-US" w:eastAsia="zh-CN" w:bidi="ar-SA"/>
        </w:rPr>
      </w:pPr>
      <w:r>
        <w:rPr>
          <w:rFonts w:hint="eastAsia" w:ascii="宋体" w:hAnsi="宋体" w:eastAsia="宋体" w:cs="宋体"/>
          <w:kern w:val="0"/>
          <w:sz w:val="24"/>
          <w:szCs w:val="24"/>
          <w:lang w:val="en-US" w:eastAsia="zh-CN" w:bidi="ar-SA"/>
        </w:rPr>
        <w:t>“福建侨务”政务频道平台对内容的政治性、权威性、准确性要求较高</w:t>
      </w:r>
      <w:r>
        <w:rPr>
          <w:rFonts w:hint="eastAsia" w:ascii="宋体" w:hAnsi="宋体" w:cs="宋体"/>
          <w:kern w:val="0"/>
          <w:sz w:val="24"/>
          <w:szCs w:val="24"/>
          <w:lang w:val="en-US" w:eastAsia="zh-CN" w:bidi="ar-SA"/>
        </w:rPr>
        <w:t>，截至2021年10月31日，由福建东南网海外传媒有限公司（东南网海外部）代运营的“福建侨务”政务频道订阅人数已达420万人，成效显著。《新福建》APP是福建省官方"新闻+政务+生活服务"移动客户端，由同为官方互联网门户福建东南网下属的海外传媒有限公司（东南网海外部）继续运营该项目，能在做好海外宣传、发挥新媒体优势的同时，确保正确的政治方向和频道内容安全。</w:t>
      </w:r>
    </w:p>
    <w:p>
      <w:pPr>
        <w:keepNext w:val="0"/>
        <w:keepLines w:val="0"/>
        <w:pageBreakBefore w:val="0"/>
        <w:widowControl w:val="0"/>
        <w:numPr>
          <w:ilvl w:val="0"/>
          <w:numId w:val="2"/>
        </w:numPr>
        <w:kinsoku/>
        <w:wordWrap/>
        <w:overflowPunct/>
        <w:topLinePunct w:val="0"/>
        <w:autoSpaceDE/>
        <w:autoSpaceDN/>
        <w:bidi w:val="0"/>
        <w:adjustRightInd/>
        <w:snapToGrid/>
        <w:spacing w:line="450" w:lineRule="exact"/>
        <w:ind w:firstLine="480" w:firstLineChars="200"/>
        <w:textAlignment w:val="auto"/>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海外落地优势</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480" w:firstLineChars="200"/>
        <w:textAlignment w:val="auto"/>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福建东南网海外传媒有限公司（东南网海外部）在美国纽约、澳大利亚悉尼、香港、菲律宾马尼拉、阿根廷布宜诺斯艾利斯、马来西亚吉隆坡、日本东京、新西兰惠灵顿建有东南网美国站、澳大利亚站、香港站、菲律宾站、阿根廷站、马来西亚站、日本站、新西兰站等境外分站，并设有30多个海外联络站，是我省唯一在海外建设分支机构的省级互联网新闻机构，符合项目宣传推广和对外传播的需要。</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480" w:firstLineChars="200"/>
        <w:textAlignment w:val="auto"/>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（3）</w:t>
      </w:r>
      <w:r>
        <w:rPr>
          <w:rFonts w:hint="default" w:ascii="宋体" w:hAnsi="宋体" w:cs="宋体"/>
          <w:kern w:val="0"/>
          <w:sz w:val="24"/>
          <w:szCs w:val="24"/>
          <w:lang w:val="en-US" w:eastAsia="zh-CN" w:bidi="ar-SA"/>
        </w:rPr>
        <w:t>侨海资源优势</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480" w:firstLineChars="200"/>
        <w:textAlignment w:val="auto"/>
        <w:rPr>
          <w:rFonts w:hint="default" w:ascii="宋体" w:hAnsi="宋体" w:cs="宋体"/>
          <w:kern w:val="0"/>
          <w:sz w:val="24"/>
          <w:szCs w:val="24"/>
          <w:lang w:val="en-US" w:eastAsia="zh-CN" w:bidi="ar-SA"/>
        </w:rPr>
      </w:pPr>
      <w:r>
        <w:rPr>
          <w:rFonts w:hint="default" w:ascii="宋体" w:hAnsi="宋体" w:cs="宋体"/>
          <w:kern w:val="0"/>
          <w:sz w:val="24"/>
          <w:szCs w:val="24"/>
          <w:lang w:val="en-US" w:eastAsia="zh-CN" w:bidi="ar-SA"/>
        </w:rPr>
        <w:t>东南网海外部与美国、英国、法国、澳大利亚、菲律宾、等40多个国家和地区，以及港澳地区的近两百个海（境）外社团保持紧密联系，汇聚了海外闽籍华人华侨心声，并在福建对外宣传走在了前列，逐步打造成为了我省最主要的涉侨和对外宣传平台。由福建东南网海外传媒有限公司（东南网海外部）继续运营该项目，能够凭借其广泛深入的亲缘优势进一步推进该频道在海外乡亲间的影响力。</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480" w:firstLineChars="200"/>
        <w:textAlignment w:val="auto"/>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（4）新闻资质优势</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东南网具有信息网络传播视听节目许可证、互联网新闻信息服务许可证、广播电视节目制作经营许可证（三证），是经国务院新闻办公室批准的具有新闻登载资质的省级重点新闻网站，拥有庞大的采编、视频制作和评论员队伍，内容制作、舆情管理和代运维管理等流程规范严谨、优势显著，能够有效把握政策导向以及信息准确性，确保政务频道项目高水平建设与安全有效管理。 </w:t>
      </w:r>
    </w:p>
    <w:p>
      <w:pPr>
        <w:pStyle w:val="4"/>
        <w:keepNext w:val="0"/>
        <w:keepLines w:val="0"/>
        <w:pageBreakBefore w:val="0"/>
        <w:widowControl/>
        <w:numPr>
          <w:ilvl w:val="0"/>
          <w:numId w:val="0"/>
        </w:numPr>
        <w:kinsoku/>
        <w:wordWrap/>
        <w:overflowPunct/>
        <w:topLinePunct w:val="0"/>
        <w:autoSpaceDE/>
        <w:autoSpaceDN/>
        <w:bidi w:val="0"/>
        <w:adjustRightInd/>
        <w:snapToGrid/>
        <w:spacing w:line="450" w:lineRule="exac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拟定的唯一供应商的名称、地址</w:t>
      </w:r>
      <w:r>
        <w:rPr>
          <w:rFonts w:hint="eastAsia" w:ascii="宋体" w:hAnsi="宋体" w:eastAsia="宋体" w:cs="宋体"/>
          <w:sz w:val="24"/>
          <w:szCs w:val="24"/>
        </w:rPr>
        <w:t>：福建东南网海外传媒有限公司（东南网海外部）、福州市鼓楼区</w:t>
      </w:r>
      <w:r>
        <w:rPr>
          <w:rFonts w:hint="eastAsia" w:ascii="宋体" w:hAnsi="宋体" w:cs="宋体"/>
          <w:sz w:val="24"/>
          <w:szCs w:val="24"/>
          <w:lang w:eastAsia="zh-CN"/>
        </w:rPr>
        <w:t>华林路</w:t>
      </w:r>
      <w:r>
        <w:rPr>
          <w:rFonts w:hint="eastAsia" w:ascii="宋体" w:hAnsi="宋体" w:cs="宋体"/>
          <w:sz w:val="24"/>
          <w:szCs w:val="24"/>
          <w:lang w:val="en-US" w:eastAsia="zh-CN"/>
        </w:rPr>
        <w:t>84号4楼</w:t>
      </w:r>
      <w:r>
        <w:rPr>
          <w:rFonts w:hint="eastAsia" w:ascii="宋体" w:hAnsi="宋体" w:eastAsia="宋体" w:cs="宋体"/>
          <w:sz w:val="24"/>
          <w:szCs w:val="24"/>
        </w:rPr>
        <w:t>。</w:t>
      </w:r>
    </w:p>
    <w:p>
      <w:pPr>
        <w:pStyle w:val="4"/>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宋体" w:hAnsi="宋体" w:eastAsia="宋体" w:cs="宋体"/>
          <w:sz w:val="24"/>
          <w:szCs w:val="24"/>
        </w:rPr>
      </w:pPr>
      <w:r>
        <w:rPr>
          <w:rFonts w:hint="eastAsia" w:ascii="宋体" w:hAnsi="宋体" w:eastAsia="宋体" w:cs="宋体"/>
          <w:b/>
          <w:bCs/>
          <w:color w:val="000000"/>
          <w:sz w:val="24"/>
          <w:szCs w:val="24"/>
        </w:rPr>
        <w:t>6、论证专家信息(工作单位、姓名、职称) 及专家论证意见:</w:t>
      </w:r>
      <w:r>
        <w:rPr>
          <w:rFonts w:hint="eastAsia" w:ascii="宋体" w:hAnsi="宋体" w:eastAsia="宋体" w:cs="宋体"/>
          <w:color w:val="000000"/>
          <w:sz w:val="24"/>
          <w:szCs w:val="24"/>
        </w:rPr>
        <w:t>详见附件</w:t>
      </w:r>
    </w:p>
    <w:tbl>
      <w:tblPr>
        <w:tblStyle w:val="14"/>
        <w:tblW w:w="832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150"/>
        <w:gridCol w:w="4346"/>
        <w:gridCol w:w="282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blHeader/>
          <w:jc w:val="center"/>
        </w:trPr>
        <w:tc>
          <w:tcPr>
            <w:tcW w:w="115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姓 名</w:t>
            </w:r>
          </w:p>
        </w:tc>
        <w:tc>
          <w:tcPr>
            <w:tcW w:w="434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工作单位</w:t>
            </w:r>
          </w:p>
        </w:tc>
        <w:tc>
          <w:tcPr>
            <w:tcW w:w="28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职称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5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李青</w:t>
            </w:r>
          </w:p>
        </w:tc>
        <w:tc>
          <w:tcPr>
            <w:tcW w:w="434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省财政厅</w:t>
            </w:r>
          </w:p>
        </w:tc>
        <w:tc>
          <w:tcPr>
            <w:tcW w:w="28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kern w:val="0"/>
                <w:sz w:val="24"/>
                <w:szCs w:val="24"/>
                <w:lang w:eastAsia="zh-CN"/>
              </w:rPr>
            </w:pPr>
            <w:r>
              <w:rPr>
                <w:rFonts w:hint="eastAsia" w:ascii="宋体" w:hAnsi="宋体" w:cs="宋体"/>
                <w:kern w:val="0"/>
                <w:sz w:val="24"/>
                <w:szCs w:val="24"/>
                <w:lang w:eastAsia="zh-CN"/>
              </w:rPr>
              <w:t>会计师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5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吴榕顺</w:t>
            </w:r>
          </w:p>
        </w:tc>
        <w:tc>
          <w:tcPr>
            <w:tcW w:w="434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福建省广播影视集团</w:t>
            </w:r>
          </w:p>
        </w:tc>
        <w:tc>
          <w:tcPr>
            <w:tcW w:w="28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高工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5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魏华</w:t>
            </w:r>
          </w:p>
        </w:tc>
        <w:tc>
          <w:tcPr>
            <w:tcW w:w="434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福建日报社</w:t>
            </w:r>
          </w:p>
        </w:tc>
        <w:tc>
          <w:tcPr>
            <w:tcW w:w="28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高</w:t>
            </w:r>
            <w:r>
              <w:rPr>
                <w:rFonts w:hint="eastAsia" w:ascii="宋体" w:hAnsi="宋体" w:cs="宋体"/>
                <w:kern w:val="0"/>
                <w:sz w:val="24"/>
                <w:szCs w:val="24"/>
                <w:lang w:eastAsia="zh-CN"/>
              </w:rPr>
              <w:t>经</w:t>
            </w:r>
          </w:p>
        </w:tc>
      </w:tr>
    </w:tbl>
    <w:p>
      <w:pPr>
        <w:pStyle w:val="4"/>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宋体" w:hAnsi="宋体" w:eastAsia="宋体" w:cs="宋体"/>
          <w:sz w:val="24"/>
          <w:szCs w:val="24"/>
        </w:rPr>
      </w:pPr>
      <w:r>
        <w:rPr>
          <w:rFonts w:hint="eastAsia" w:ascii="宋体" w:hAnsi="宋体" w:eastAsia="宋体" w:cs="宋体"/>
          <w:b/>
          <w:bCs/>
          <w:sz w:val="24"/>
          <w:szCs w:val="24"/>
        </w:rPr>
        <w:t>7、公示期限</w:t>
      </w:r>
      <w:r>
        <w:rPr>
          <w:rFonts w:hint="eastAsia" w:ascii="宋体" w:hAnsi="宋体" w:eastAsia="宋体" w:cs="宋体"/>
          <w:sz w:val="24"/>
          <w:szCs w:val="24"/>
        </w:rPr>
        <w:t>（不少于5个工作日）：2021年</w:t>
      </w:r>
      <w:r>
        <w:rPr>
          <w:rFonts w:hint="eastAsia" w:ascii="宋体" w:hAnsi="宋体" w:cs="宋体"/>
          <w:sz w:val="24"/>
          <w:szCs w:val="24"/>
          <w:lang w:val="en-US" w:eastAsia="zh-CN"/>
        </w:rPr>
        <w:t>11</w:t>
      </w:r>
      <w:r>
        <w:rPr>
          <w:rFonts w:hint="eastAsia" w:ascii="宋体" w:hAnsi="宋体" w:eastAsia="宋体" w:cs="宋体"/>
          <w:sz w:val="24"/>
          <w:szCs w:val="24"/>
        </w:rPr>
        <w:t>月</w:t>
      </w:r>
      <w:r>
        <w:rPr>
          <w:rFonts w:hint="eastAsia" w:ascii="宋体" w:hAnsi="宋体" w:cs="宋体"/>
          <w:sz w:val="24"/>
          <w:szCs w:val="24"/>
          <w:lang w:val="en-US" w:eastAsia="zh-CN"/>
        </w:rPr>
        <w:t>23</w:t>
      </w:r>
      <w:r>
        <w:rPr>
          <w:rFonts w:hint="eastAsia" w:ascii="宋体" w:hAnsi="宋体" w:eastAsia="宋体" w:cs="宋体"/>
          <w:sz w:val="24"/>
          <w:szCs w:val="24"/>
        </w:rPr>
        <w:t>日—2021年</w:t>
      </w:r>
      <w:r>
        <w:rPr>
          <w:rFonts w:hint="eastAsia" w:ascii="宋体" w:hAnsi="宋体" w:cs="宋体"/>
          <w:sz w:val="24"/>
          <w:szCs w:val="24"/>
          <w:lang w:val="en-US" w:eastAsia="zh-CN"/>
        </w:rPr>
        <w:t>11</w:t>
      </w:r>
      <w:r>
        <w:rPr>
          <w:rFonts w:hint="eastAsia" w:ascii="宋体" w:hAnsi="宋体" w:eastAsia="宋体" w:cs="宋体"/>
          <w:sz w:val="24"/>
          <w:szCs w:val="24"/>
        </w:rPr>
        <w:t>月</w:t>
      </w:r>
      <w:r>
        <w:rPr>
          <w:rFonts w:hint="eastAsia" w:ascii="宋体" w:hAnsi="宋体" w:cs="宋体"/>
          <w:sz w:val="24"/>
          <w:szCs w:val="24"/>
          <w:lang w:val="en-US" w:eastAsia="zh-CN"/>
        </w:rPr>
        <w:t>28</w:t>
      </w:r>
      <w:r>
        <w:rPr>
          <w:rFonts w:hint="eastAsia" w:ascii="宋体" w:hAnsi="宋体" w:eastAsia="宋体" w:cs="宋体"/>
          <w:sz w:val="24"/>
          <w:szCs w:val="24"/>
        </w:rPr>
        <w:t>日。</w:t>
      </w:r>
    </w:p>
    <w:p>
      <w:pPr>
        <w:pStyle w:val="4"/>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宋体" w:hAnsi="宋体" w:eastAsia="宋体" w:cs="宋体"/>
          <w:bCs/>
          <w:sz w:val="24"/>
          <w:szCs w:val="24"/>
        </w:rPr>
      </w:pPr>
      <w:r>
        <w:rPr>
          <w:rFonts w:hint="eastAsia" w:ascii="宋体" w:hAnsi="宋体" w:eastAsia="宋体" w:cs="宋体"/>
          <w:b/>
          <w:bCs/>
          <w:sz w:val="24"/>
          <w:szCs w:val="24"/>
        </w:rPr>
        <w:t>8、</w:t>
      </w:r>
      <w:r>
        <w:rPr>
          <w:rFonts w:hint="eastAsia" w:ascii="宋体" w:hAnsi="宋体" w:eastAsia="宋体" w:cs="宋体"/>
          <w:bCs/>
          <w:sz w:val="24"/>
          <w:szCs w:val="24"/>
        </w:rPr>
        <w:t>任何供应商、单位或者个人对采用单一来源采购方式公示有异议的，可以在公示期内将书面意见反馈给采购人。</w:t>
      </w:r>
    </w:p>
    <w:p>
      <w:pPr>
        <w:pStyle w:val="4"/>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宋体" w:hAnsi="宋体" w:eastAsia="宋体" w:cs="宋体"/>
          <w:sz w:val="24"/>
          <w:szCs w:val="24"/>
        </w:rPr>
      </w:pPr>
      <w:r>
        <w:rPr>
          <w:rFonts w:hint="eastAsia" w:ascii="宋体" w:hAnsi="宋体" w:eastAsia="宋体" w:cs="宋体"/>
          <w:b/>
          <w:bCs/>
          <w:sz w:val="24"/>
          <w:szCs w:val="24"/>
        </w:rPr>
        <w:t>9、</w:t>
      </w:r>
      <w:r>
        <w:rPr>
          <w:rFonts w:hint="eastAsia" w:ascii="宋体" w:hAnsi="宋体" w:eastAsia="宋体" w:cs="宋体"/>
          <w:sz w:val="24"/>
          <w:szCs w:val="24"/>
        </w:rPr>
        <w:t>本项目采购人：</w:t>
      </w:r>
      <w:r>
        <w:rPr>
          <w:rFonts w:hint="eastAsia" w:ascii="宋体" w:hAnsi="宋体" w:cs="宋体"/>
          <w:sz w:val="24"/>
          <w:szCs w:val="24"/>
          <w:lang w:eastAsia="zh-CN"/>
        </w:rPr>
        <w:t>中共福建省委统战部</w:t>
      </w:r>
    </w:p>
    <w:p>
      <w:pPr>
        <w:pStyle w:val="4"/>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宋体" w:hAnsi="宋体" w:cs="宋体"/>
          <w:spacing w:val="0"/>
          <w:sz w:val="24"/>
          <w:szCs w:val="24"/>
          <w:lang w:val="en-US" w:eastAsia="zh-CN"/>
        </w:rPr>
      </w:pPr>
      <w:r>
        <w:rPr>
          <w:rFonts w:hint="eastAsia" w:ascii="宋体" w:hAnsi="宋体" w:eastAsia="宋体" w:cs="宋体"/>
          <w:sz w:val="24"/>
          <w:szCs w:val="24"/>
        </w:rPr>
        <w:t>地址：</w:t>
      </w:r>
      <w:r>
        <w:rPr>
          <w:rFonts w:hint="eastAsia" w:ascii="宋体" w:hAnsi="宋体" w:eastAsia="宋体" w:cs="宋体"/>
          <w:spacing w:val="0"/>
          <w:sz w:val="24"/>
          <w:szCs w:val="24"/>
        </w:rPr>
        <w:t>福州市</w:t>
      </w:r>
      <w:r>
        <w:rPr>
          <w:rFonts w:hint="eastAsia" w:ascii="宋体" w:hAnsi="宋体" w:cs="宋体"/>
          <w:spacing w:val="0"/>
          <w:sz w:val="24"/>
          <w:szCs w:val="24"/>
          <w:lang w:eastAsia="zh-CN"/>
        </w:rPr>
        <w:t>东大路</w:t>
      </w:r>
      <w:r>
        <w:rPr>
          <w:rFonts w:hint="eastAsia" w:ascii="宋体" w:hAnsi="宋体" w:cs="宋体"/>
          <w:spacing w:val="0"/>
          <w:sz w:val="24"/>
          <w:szCs w:val="24"/>
          <w:lang w:val="en-US" w:eastAsia="zh-CN"/>
        </w:rPr>
        <w:t>73号省直东湖大院2号楼817</w:t>
      </w:r>
    </w:p>
    <w:p>
      <w:pPr>
        <w:pStyle w:val="4"/>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联系人姓名：</w:t>
      </w:r>
      <w:r>
        <w:rPr>
          <w:rFonts w:hint="eastAsia" w:ascii="宋体" w:hAnsi="宋体" w:cs="宋体"/>
          <w:sz w:val="24"/>
          <w:szCs w:val="24"/>
          <w:lang w:eastAsia="zh-CN"/>
        </w:rPr>
        <w:t>陈川</w:t>
      </w:r>
    </w:p>
    <w:p>
      <w:pPr>
        <w:pStyle w:val="4"/>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cs="宋体"/>
          <w:sz w:val="24"/>
          <w:szCs w:val="24"/>
          <w:lang w:val="en-US" w:eastAsia="zh-CN"/>
        </w:rPr>
        <w:t>13799370096</w:t>
      </w:r>
    </w:p>
    <w:p>
      <w:pPr>
        <w:pStyle w:val="4"/>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宋体" w:hAnsi="宋体" w:eastAsia="宋体" w:cs="宋体"/>
          <w:sz w:val="24"/>
          <w:szCs w:val="24"/>
        </w:rPr>
      </w:pPr>
    </w:p>
    <w:p>
      <w:pPr>
        <w:pStyle w:val="4"/>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eastAsia="zh-CN"/>
        </w:rPr>
        <w:t>中共福建省委统战部</w:t>
      </w:r>
    </w:p>
    <w:p>
      <w:pPr>
        <w:pStyle w:val="4"/>
        <w:keepNext w:val="0"/>
        <w:keepLines w:val="0"/>
        <w:pageBreakBefore w:val="0"/>
        <w:widowControl/>
        <w:kinsoku/>
        <w:wordWrap/>
        <w:overflowPunct/>
        <w:topLinePunct w:val="0"/>
        <w:autoSpaceDE/>
        <w:autoSpaceDN/>
        <w:bidi w:val="0"/>
        <w:adjustRightInd/>
        <w:snapToGrid/>
        <w:spacing w:line="45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2021年</w:t>
      </w:r>
      <w:r>
        <w:rPr>
          <w:rFonts w:hint="eastAsia" w:ascii="宋体" w:hAnsi="宋体" w:cs="宋体"/>
          <w:sz w:val="24"/>
          <w:szCs w:val="24"/>
          <w:lang w:val="en-US" w:eastAsia="zh-CN"/>
        </w:rPr>
        <w:t>11</w:t>
      </w:r>
      <w:r>
        <w:rPr>
          <w:rFonts w:hint="eastAsia" w:ascii="宋体" w:hAnsi="宋体" w:eastAsia="宋体" w:cs="宋体"/>
          <w:sz w:val="24"/>
          <w:szCs w:val="24"/>
        </w:rPr>
        <w:t>月</w:t>
      </w:r>
      <w:r>
        <w:rPr>
          <w:rFonts w:hint="eastAsia" w:ascii="宋体" w:hAnsi="宋体" w:cs="宋体"/>
          <w:sz w:val="24"/>
          <w:szCs w:val="24"/>
          <w:lang w:val="en-US" w:eastAsia="zh-CN"/>
        </w:rPr>
        <w:t>23</w:t>
      </w:r>
      <w:r>
        <w:rPr>
          <w:rFonts w:hint="eastAsia" w:ascii="宋体" w:hAnsi="宋体" w:eastAsia="宋体" w:cs="宋体"/>
          <w:sz w:val="24"/>
          <w:szCs w:val="24"/>
        </w:rPr>
        <w:t>日</w:t>
      </w:r>
    </w:p>
    <w:sectPr>
      <w:pgSz w:w="11906" w:h="16838"/>
      <w:pgMar w:top="1327" w:right="1519" w:bottom="1327" w:left="17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Segoe UI">
    <w:panose1 w:val="020B0502040204020203"/>
    <w:charset w:val="00"/>
    <w:family w:val="swiss"/>
    <w:pitch w:val="default"/>
    <w:sig w:usb0="E10022FF" w:usb1="C000E47F" w:usb2="00000029" w:usb3="00000000" w:csb0="200001DF" w:csb1="2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F0E76C"/>
    <w:multiLevelType w:val="singleLevel"/>
    <w:tmpl w:val="D1F0E76C"/>
    <w:lvl w:ilvl="0" w:tentative="0">
      <w:start w:val="2"/>
      <w:numFmt w:val="decimal"/>
      <w:suff w:val="nothing"/>
      <w:lvlText w:val="（%1）"/>
      <w:lvlJc w:val="left"/>
    </w:lvl>
  </w:abstractNum>
  <w:abstractNum w:abstractNumId="1">
    <w:nsid w:val="5F58FE62"/>
    <w:multiLevelType w:val="singleLevel"/>
    <w:tmpl w:val="5F58FE62"/>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19"/>
    <w:rsid w:val="00162719"/>
    <w:rsid w:val="00765678"/>
    <w:rsid w:val="00E411FC"/>
    <w:rsid w:val="04876AAF"/>
    <w:rsid w:val="07474CE3"/>
    <w:rsid w:val="07500011"/>
    <w:rsid w:val="0B56050E"/>
    <w:rsid w:val="0FF13BF0"/>
    <w:rsid w:val="1A8C5875"/>
    <w:rsid w:val="2C1E63C0"/>
    <w:rsid w:val="2F8B2E42"/>
    <w:rsid w:val="30541393"/>
    <w:rsid w:val="30987882"/>
    <w:rsid w:val="336F2CC1"/>
    <w:rsid w:val="38302FB9"/>
    <w:rsid w:val="47F71A82"/>
    <w:rsid w:val="4A156067"/>
    <w:rsid w:val="4FAB643E"/>
    <w:rsid w:val="55D85105"/>
    <w:rsid w:val="575B5F7F"/>
    <w:rsid w:val="5F2A324E"/>
    <w:rsid w:val="64581902"/>
    <w:rsid w:val="72137ED8"/>
    <w:rsid w:val="72485516"/>
    <w:rsid w:val="79A67918"/>
    <w:rsid w:val="7AF17DD2"/>
    <w:rsid w:val="7C553180"/>
    <w:rsid w:val="7CF51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21"/>
    <w:qFormat/>
    <w:uiPriority w:val="0"/>
    <w:pPr>
      <w:tabs>
        <w:tab w:val="center" w:pos="4153"/>
        <w:tab w:val="right" w:pos="8306"/>
      </w:tabs>
      <w:snapToGrid w:val="0"/>
      <w:jc w:val="left"/>
    </w:pPr>
    <w:rPr>
      <w:sz w:val="18"/>
      <w:szCs w:val="18"/>
    </w:rPr>
  </w:style>
  <w:style w:type="paragraph" w:styleId="3">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character" w:styleId="6">
    <w:name w:val="Strong"/>
    <w:qFormat/>
    <w:uiPriority w:val="0"/>
    <w:rPr>
      <w:b/>
    </w:rPr>
  </w:style>
  <w:style w:type="character" w:styleId="7">
    <w:name w:val="FollowedHyperlink"/>
    <w:qFormat/>
    <w:uiPriority w:val="0"/>
    <w:rPr>
      <w:color w:val="222222"/>
      <w:u w:val="none"/>
    </w:rPr>
  </w:style>
  <w:style w:type="character" w:styleId="8">
    <w:name w:val="Emphasis"/>
    <w:basedOn w:val="5"/>
    <w:qFormat/>
    <w:uiPriority w:val="0"/>
  </w:style>
  <w:style w:type="character" w:styleId="9">
    <w:name w:val="HTML Definition"/>
    <w:qFormat/>
    <w:uiPriority w:val="0"/>
    <w:rPr>
      <w:i/>
    </w:rPr>
  </w:style>
  <w:style w:type="character" w:styleId="10">
    <w:name w:val="Hyperlink"/>
    <w:qFormat/>
    <w:uiPriority w:val="0"/>
    <w:rPr>
      <w:color w:val="222222"/>
      <w:u w:val="none"/>
    </w:rPr>
  </w:style>
  <w:style w:type="character" w:styleId="11">
    <w:name w:val="HTML Code"/>
    <w:qFormat/>
    <w:uiPriority w:val="0"/>
    <w:rPr>
      <w:rFonts w:hint="default" w:ascii="Consolas" w:hAnsi="Consolas" w:eastAsia="Consolas" w:cs="Consolas"/>
      <w:color w:val="CA4440"/>
      <w:sz w:val="21"/>
      <w:szCs w:val="21"/>
      <w:shd w:val="clear" w:color="040000" w:fill="F9F2F4"/>
    </w:rPr>
  </w:style>
  <w:style w:type="character" w:styleId="12">
    <w:name w:val="HTML Keyboard"/>
    <w:qFormat/>
    <w:uiPriority w:val="0"/>
    <w:rPr>
      <w:rFonts w:ascii="Consolas" w:hAnsi="Consolas" w:eastAsia="Consolas" w:cs="Consolas"/>
      <w:color w:val="FFFFFF"/>
      <w:sz w:val="21"/>
      <w:szCs w:val="21"/>
      <w:shd w:val="clear" w:color="040000" w:fill="333333"/>
    </w:rPr>
  </w:style>
  <w:style w:type="character" w:styleId="13">
    <w:name w:val="HTML Sample"/>
    <w:qFormat/>
    <w:uiPriority w:val="0"/>
    <w:rPr>
      <w:rFonts w:hint="default" w:ascii="Consolas" w:hAnsi="Consolas" w:eastAsia="Consolas" w:cs="Consolas"/>
      <w:b/>
      <w:color w:val="5E5E5E"/>
      <w:sz w:val="21"/>
      <w:szCs w:val="21"/>
      <w:shd w:val="clear" w:color="050000" w:fill="D1DADE"/>
    </w:rPr>
  </w:style>
  <w:style w:type="character" w:customStyle="1" w:styleId="15">
    <w:name w:val="label10"/>
    <w:basedOn w:val="5"/>
    <w:qFormat/>
    <w:uiPriority w:val="0"/>
  </w:style>
  <w:style w:type="character" w:customStyle="1" w:styleId="16">
    <w:name w:val="label11"/>
    <w:qFormat/>
    <w:uiPriority w:val="0"/>
    <w:rPr>
      <w:color w:val="1AB394"/>
      <w:shd w:val="clear" w:color="010000" w:fill="FFFFFF"/>
    </w:rPr>
  </w:style>
  <w:style w:type="character" w:customStyle="1" w:styleId="17">
    <w:name w:val="label12"/>
    <w:qFormat/>
    <w:uiPriority w:val="0"/>
    <w:rPr>
      <w:color w:val="1CC09F"/>
      <w:shd w:val="clear" w:color="010000" w:fill="FFFFFF"/>
    </w:rPr>
  </w:style>
  <w:style w:type="character" w:customStyle="1" w:styleId="18">
    <w:name w:val="label13"/>
    <w:basedOn w:val="5"/>
    <w:qFormat/>
    <w:uiPriority w:val="0"/>
  </w:style>
  <w:style w:type="character" w:customStyle="1" w:styleId="19">
    <w:name w:val="navy"/>
    <w:qFormat/>
    <w:uiPriority w:val="0"/>
    <w:rPr>
      <w:color w:val="1AB394"/>
    </w:rPr>
  </w:style>
  <w:style w:type="character" w:customStyle="1" w:styleId="20">
    <w:name w:val="页眉 Char"/>
    <w:link w:val="3"/>
    <w:qFormat/>
    <w:uiPriority w:val="0"/>
    <w:rPr>
      <w:rFonts w:ascii="Calibri" w:hAnsi="Calibri" w:cs="黑体"/>
      <w:kern w:val="2"/>
      <w:sz w:val="18"/>
      <w:szCs w:val="18"/>
    </w:rPr>
  </w:style>
  <w:style w:type="character" w:customStyle="1" w:styleId="21">
    <w:name w:val="页脚 Char"/>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189</Words>
  <Characters>1080</Characters>
  <Lines>9</Lines>
  <Paragraphs>2</Paragraphs>
  <ScaleCrop>false</ScaleCrop>
  <LinksUpToDate>false</LinksUpToDate>
  <CharactersWithSpaces>1267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2020-10-26T02:59:00Z</dcterms:created>
  <dc:creator>我是小zce</dc:creator>
  <cp:lastModifiedBy>Administrator</cp:lastModifiedBy>
  <cp:lastPrinted>2021-11-23T08:12:00Z</cp:lastPrinted>
  <dcterms:modified xsi:type="dcterms:W3CDTF">2021-11-23T08:23:24Z</dcterms:modified>
  <dc:title>三明市总工会关于“城镇职工医疗保险费用同步结算系统软件开发服务项目”单一来源采购审核前公示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F8E66A1DB3E74D838B190DD76B7685EE</vt:lpwstr>
  </property>
</Properties>
</file>